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rPr/>
      </w:pPr>
      <w:r w:rsidDel="00000000" w:rsidR="00000000" w:rsidRPr="00000000">
        <w:rPr>
          <w:rtl w:val="0"/>
        </w:rPr>
        <w:t xml:space="preserve">“If you don't believe in your idea, why would anyone else?” Innovators Mindset.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Every PBL has a presentation feature in it. In this mission, you will need to use your superpower of communication. You will present your  2026 toy design idea to the groups. The groups will cast a vote on if our 2026 toy design ROCKS or BLOCKS. After your presentation, the groups will cast their vote by using two hand signals.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If they like your design they will show the ROCK hand sign (show hand signal). If they do not like your design they will show the BLOCK sign (show hand signal).  The most hand signs will determine if you have successfully completed the mission of ROCK OR BLOCK</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All level ups and power-ups will be tallied and the results will be announced after the reflections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Once all groups have presented their 2026 toys ideas you will return to your groups and spend 5 minutes reflecting together if you have been successful according to the PBL rubric. Every PBL ends with a reflection and so should YOURS!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